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Sunne kommunfullmäktige</w:t>
      </w:r>
    </w:p>
    <w:p>
      <w:pPr>
        <w:pStyle w:val="Heading1"/>
      </w:pPr>
      <w:r>
        <w:t xml:space="preserve">Inför valfrihet inom hemtjänsten i Sunne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Sunne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Sunne saknar idag privat hemtjänstutförare trots att många äldre efterfrågar valmöjligheter (Sunne kommuns brukarundersökning 2024). Konkurrens kan höja kvalitet och effektivitet.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Sunne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Sunne kommunfullmäktige beslutar öppna hemtjänsten för privata utförare enligt LOV.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upphandling av minst två externa aktörer genomförs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brukarnas valfrihet ska vara huvudregel i alla nya biståndsbeslut.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av kvalitet och kostnad redovisas årligen.</w:t>
      </w:r>
    </w:p>
    <w:p>
      <w:pPr>
        <w:spacing w:before="360"/>
      </w:pPr>
    </w:p>
    <w:p>
      <w:r>
        <w:t xml:space="preserve">Sunne,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Sunne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2026-06-06T01:48:30.962Z</dcterms:created>
  <dcterms:modified xsi:type="dcterms:W3CDTF">2026-06-06T01:48:30.962Z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